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47" w:rsidRPr="00FA07D0" w:rsidRDefault="00FA07D0" w:rsidP="00FA07D0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MA"/>
        </w:rPr>
      </w:pPr>
      <w:r w:rsidRPr="00FA07D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>السياسة الشرعية الفصل الثالث</w:t>
      </w:r>
    </w:p>
    <w:p w:rsidR="00FA07D0" w:rsidRPr="00FA07D0" w:rsidRDefault="00FA07D0" w:rsidP="00FA07D0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FA07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المحور </w:t>
      </w:r>
      <w:proofErr w:type="gramStart"/>
      <w:r w:rsidRPr="00FA07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الثاني :</w:t>
      </w:r>
      <w:proofErr w:type="gramEnd"/>
      <w:r w:rsidRPr="00FA07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مشكلات فكرية في الفقه السياسي المعاصر.</w:t>
      </w:r>
    </w:p>
    <w:p w:rsidR="00FA07D0" w:rsidRDefault="00FA07D0" w:rsidP="00FA07D0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6"/>
          <w:szCs w:val="36"/>
          <w:lang w:bidi="ar-MA"/>
        </w:rPr>
      </w:pPr>
      <w:r w:rsidRPr="00D636D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1 </w:t>
      </w:r>
      <w:r w:rsidRPr="00D636DF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–</w:t>
      </w:r>
      <w:r w:rsidRPr="00D636D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proofErr w:type="spellStart"/>
      <w:r w:rsidRPr="00D636D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الحاكمية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: </w:t>
      </w:r>
    </w:p>
    <w:p w:rsidR="00FA07D0" w:rsidRDefault="00FA07D0" w:rsidP="00FA07D0">
      <w:pPr>
        <w:pStyle w:val="Paragraphedeliste"/>
        <w:bidi/>
        <w:jc w:val="both"/>
        <w:rPr>
          <w:rFonts w:ascii="Traditional Arabic" w:hAnsi="Traditional Arabic" w:cs="Traditional Arabic"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 _ مصطلح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الحاكمية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: ظهوره ومفهومه. </w:t>
      </w:r>
    </w:p>
    <w:p w:rsidR="00FA07D0" w:rsidRDefault="00B1626A" w:rsidP="00FA07D0">
      <w:pPr>
        <w:pStyle w:val="Paragraphedeliste"/>
        <w:bidi/>
        <w:jc w:val="both"/>
        <w:rPr>
          <w:rFonts w:ascii="Traditional Arabic" w:hAnsi="Traditional Arabic" w:cs="Traditional Arabic"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   (</w:t>
      </w:r>
      <w:r w:rsidR="00FA07D0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ينظر نص أبي الأعلى </w:t>
      </w:r>
      <w:proofErr w:type="spellStart"/>
      <w:r w:rsidR="00FA07D0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المودودي</w:t>
      </w:r>
      <w:proofErr w:type="spellEnd"/>
      <w:r w:rsidR="00FA07D0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. ص:91-93</w:t>
      </w:r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ونص يوسف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القرضاوي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ص:97-98</w:t>
      </w:r>
      <w:r w:rsidR="00FA07D0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)</w:t>
      </w:r>
    </w:p>
    <w:p w:rsidR="00D636DF" w:rsidRDefault="00D636DF" w:rsidP="00D636DF">
      <w:pPr>
        <w:pStyle w:val="Paragraphedeliste"/>
        <w:bidi/>
        <w:jc w:val="both"/>
        <w:rPr>
          <w:rFonts w:ascii="Traditional Arabic" w:hAnsi="Traditional Arabic" w:cs="Traditional Arabic"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_ أنواع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الحاكمية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.</w:t>
      </w:r>
    </w:p>
    <w:p w:rsidR="00D636DF" w:rsidRDefault="00D636DF" w:rsidP="00D636DF">
      <w:pPr>
        <w:pStyle w:val="Paragraphedeliste"/>
        <w:bidi/>
        <w:jc w:val="both"/>
        <w:rPr>
          <w:rFonts w:ascii="Traditional Arabic" w:hAnsi="Traditional Arabic" w:cs="Traditional Arabic"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_ تحرير محل النزاع في مسألة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الحاكمية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.</w:t>
      </w:r>
    </w:p>
    <w:p w:rsidR="00D636DF" w:rsidRDefault="00D636DF" w:rsidP="00D636DF">
      <w:pPr>
        <w:pStyle w:val="Paragraphedeliste"/>
        <w:bidi/>
        <w:jc w:val="both"/>
        <w:rPr>
          <w:rFonts w:ascii="Traditional Arabic" w:hAnsi="Traditional Arabic" w:cs="Traditional Arabic"/>
          <w:sz w:val="36"/>
          <w:szCs w:val="36"/>
          <w:lang w:bidi="ar-M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_ سوء الفهم لمسألة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الحاكمية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: أصله وأثره: الأصل التاريخي ( فرقة الخوارج )- سوء فهم آيات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الحاكمية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.  </w:t>
      </w:r>
    </w:p>
    <w:p w:rsidR="00FA07D0" w:rsidRDefault="00FA07D0" w:rsidP="00FA07D0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lang w:bidi="ar-MA"/>
        </w:rPr>
      </w:pPr>
      <w:r w:rsidRPr="00D636D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2- </w:t>
      </w:r>
      <w:proofErr w:type="gramStart"/>
      <w:r w:rsidR="00D636DF" w:rsidRPr="00D636D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ثقافة</w:t>
      </w:r>
      <w:proofErr w:type="gramEnd"/>
      <w:r w:rsidR="00D636DF" w:rsidRPr="00D636D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التكفير:</w:t>
      </w:r>
    </w:p>
    <w:p w:rsidR="00D636DF" w:rsidRDefault="00D636DF" w:rsidP="00D636DF">
      <w:pPr>
        <w:pStyle w:val="Paragraphedeliste"/>
        <w:bidi/>
        <w:jc w:val="both"/>
        <w:rPr>
          <w:rFonts w:ascii="Traditional Arabic" w:hAnsi="Traditional Arabic" w:cs="Traditional Arabic"/>
          <w:sz w:val="36"/>
          <w:szCs w:val="36"/>
          <w:rtl/>
          <w:lang w:bidi="ar-MA"/>
        </w:rPr>
      </w:pPr>
      <w:r w:rsidRPr="00D636DF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_ أوصاف </w:t>
      </w:r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الفكر التكفيري</w:t>
      </w:r>
    </w:p>
    <w:p w:rsidR="000B4C78" w:rsidRDefault="00D636DF" w:rsidP="00D636DF">
      <w:pPr>
        <w:pStyle w:val="Paragraphedeliste"/>
        <w:bidi/>
        <w:jc w:val="both"/>
        <w:rPr>
          <w:rFonts w:ascii="Traditional Arabic" w:hAnsi="Traditional Arabic" w:cs="Traditional Arabic"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_ قراءة علمية نقدية لأصول ثقافة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التكفير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التكفير بسبب مفهوم الإيمان </w:t>
      </w:r>
      <w:r>
        <w:rPr>
          <w:rFonts w:ascii="Traditional Arabic" w:hAnsi="Traditional Arabic" w:cs="Traditional Arabic"/>
          <w:sz w:val="36"/>
          <w:szCs w:val="36"/>
          <w:rtl/>
          <w:lang w:bidi="ar-MA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التكفير بسبب ترك العمل واقتراف الكبائر </w:t>
      </w:r>
      <w:r>
        <w:rPr>
          <w:rFonts w:ascii="Traditional Arabic" w:hAnsi="Traditional Arabic" w:cs="Traditional Arabic"/>
          <w:sz w:val="36"/>
          <w:szCs w:val="36"/>
          <w:rtl/>
          <w:lang w:bidi="ar-MA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التكفير </w:t>
      </w:r>
      <w:r w:rsidR="00292C47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تبعا لحكم الدار (التقسيم الفقهي للعالم </w:t>
      </w:r>
      <w:r w:rsidR="00292C47">
        <w:rPr>
          <w:rFonts w:ascii="Traditional Arabic" w:hAnsi="Traditional Arabic" w:cs="Traditional Arabic"/>
          <w:sz w:val="36"/>
          <w:szCs w:val="36"/>
          <w:rtl/>
          <w:lang w:bidi="ar-MA"/>
        </w:rPr>
        <w:t>–</w:t>
      </w:r>
      <w:r w:rsidR="00292C47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ضوابط الحكم على الدار.)</w:t>
      </w:r>
    </w:p>
    <w:p w:rsidR="000B4C78" w:rsidRDefault="000B4C78" w:rsidP="000B4C78">
      <w:pPr>
        <w:pStyle w:val="Paragraphedeliste"/>
        <w:bidi/>
        <w:jc w:val="both"/>
        <w:rPr>
          <w:rFonts w:ascii="Traditional Arabic" w:hAnsi="Traditional Arabic" w:cs="Traditional Arabic"/>
          <w:sz w:val="36"/>
          <w:szCs w:val="36"/>
          <w:rtl/>
          <w:lang w:bidi="ar-MA"/>
        </w:rPr>
      </w:pPr>
    </w:p>
    <w:p w:rsidR="00D636DF" w:rsidRPr="00806353" w:rsidRDefault="000B4C78" w:rsidP="000B4C78">
      <w:pPr>
        <w:pStyle w:val="Paragraphedeliste"/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MA"/>
        </w:rPr>
      </w:pPr>
      <w:r w:rsidRPr="0080635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 xml:space="preserve">المحور </w:t>
      </w:r>
      <w:proofErr w:type="gramStart"/>
      <w:r w:rsidRPr="0080635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>الثالث :</w:t>
      </w:r>
      <w:proofErr w:type="gramEnd"/>
      <w:r w:rsidRPr="0080635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 xml:space="preserve"> أحكام السياسة الشرعية</w:t>
      </w:r>
    </w:p>
    <w:p w:rsidR="000B4C78" w:rsidRPr="000B4C78" w:rsidRDefault="000B4C78" w:rsidP="000B4C78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6"/>
          <w:szCs w:val="36"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1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–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الإمامة والبيعة: </w:t>
      </w:r>
      <w:r w:rsidRPr="000B4C7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نصوص مختارة من كتاب " </w:t>
      </w:r>
      <w:proofErr w:type="spellStart"/>
      <w:r w:rsidRPr="000B4C7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غياث</w:t>
      </w:r>
      <w:proofErr w:type="spellEnd"/>
      <w:r w:rsidRPr="000B4C7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الأمم في </w:t>
      </w:r>
      <w:proofErr w:type="spellStart"/>
      <w:r w:rsidRPr="000B4C7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التياث</w:t>
      </w:r>
      <w:proofErr w:type="spellEnd"/>
      <w:r w:rsidRPr="000B4C7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الظلم" لإمام الحرمين </w:t>
      </w:r>
      <w:proofErr w:type="spellStart"/>
      <w:r w:rsidRPr="000B4C7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الجويني</w:t>
      </w:r>
      <w:proofErr w:type="spellEnd"/>
      <w:r w:rsidRPr="000B4C7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(ت478ه)</w:t>
      </w:r>
    </w:p>
    <w:p w:rsidR="00215073" w:rsidRDefault="000B4C78" w:rsidP="000B4C78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6"/>
          <w:szCs w:val="36"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2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–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قضايا الشورى :</w:t>
      </w:r>
    </w:p>
    <w:p w:rsidR="00215073" w:rsidRPr="00806353" w:rsidRDefault="00215073" w:rsidP="00215073">
      <w:pPr>
        <w:pStyle w:val="Paragraphedeliste"/>
        <w:bidi/>
        <w:rPr>
          <w:rFonts w:ascii="Traditional Arabic" w:hAnsi="Traditional Arabic" w:cs="Traditional Arabic"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_ </w:t>
      </w:r>
      <w:r w:rsidR="000B4C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="000B4C78" w:rsidRPr="00806353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من هم أهل الشورى؟ (</w:t>
      </w:r>
      <w:proofErr w:type="gramStart"/>
      <w:r w:rsidR="000B4C78" w:rsidRPr="00806353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من</w:t>
      </w:r>
      <w:proofErr w:type="gramEnd"/>
      <w:r w:rsidR="000B4C78" w:rsidRPr="00806353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الصفحة345 إلى 349 )</w:t>
      </w:r>
    </w:p>
    <w:p w:rsidR="000B4C78" w:rsidRDefault="00215073" w:rsidP="00215073">
      <w:pPr>
        <w:pStyle w:val="Paragraphedeliste"/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806353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  _ التنظيم العملي للشورى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0B4C7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(من الصفحة</w:t>
      </w:r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355</w:t>
      </w:r>
      <w:r w:rsidRPr="000B4C7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</w:t>
      </w:r>
      <w:proofErr w:type="gramStart"/>
      <w:r w:rsidRPr="000B4C7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إلى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358 )</w:t>
      </w:r>
      <w:r w:rsidR="000B4C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</w:p>
    <w:p w:rsidR="000B4C78" w:rsidRDefault="00215073" w:rsidP="00806353">
      <w:pPr>
        <w:pStyle w:val="Paragraphedeliste"/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lastRenderedPageBreak/>
        <w:t xml:space="preserve"> _ </w:t>
      </w:r>
      <w:proofErr w:type="gramStart"/>
      <w:r w:rsidRPr="00806353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قرار</w:t>
      </w:r>
      <w:proofErr w:type="gramEnd"/>
      <w:r w:rsidRPr="00806353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الشورى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0B4C7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(من الصفحة</w:t>
      </w:r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361</w:t>
      </w:r>
      <w:r w:rsidRPr="000B4C7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إلى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="0073598F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370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)</w:t>
      </w:r>
    </w:p>
    <w:p w:rsidR="00806353" w:rsidRPr="00806353" w:rsidRDefault="00806353" w:rsidP="00806353">
      <w:pPr>
        <w:pStyle w:val="Paragraphedeliste"/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0B4C78" w:rsidRPr="00806353" w:rsidRDefault="000B4C78" w:rsidP="000B4C78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MA"/>
        </w:rPr>
      </w:pPr>
      <w:proofErr w:type="gramStart"/>
      <w:r w:rsidRPr="0080635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>المحور</w:t>
      </w:r>
      <w:proofErr w:type="gramEnd"/>
      <w:r w:rsidRPr="0080635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MA"/>
        </w:rPr>
        <w:t xml:space="preserve"> الرابع: مستجدات معاصرة في فقه السياسة الشرعية</w:t>
      </w:r>
    </w:p>
    <w:p w:rsidR="000B4C78" w:rsidRDefault="000B4C78" w:rsidP="000B4C78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6"/>
          <w:szCs w:val="36"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1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–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المشاركة في حكم غير إسلامي: </w:t>
      </w:r>
      <w:r w:rsidRPr="000B4C7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(</w:t>
      </w:r>
      <w:proofErr w:type="gramStart"/>
      <w:r w:rsidRPr="000B4C7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من</w:t>
      </w:r>
      <w:proofErr w:type="gramEnd"/>
      <w:r w:rsidRPr="000B4C7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الصفحة523 إلى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0B4C7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530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)</w:t>
      </w:r>
    </w:p>
    <w:p w:rsidR="000B4C78" w:rsidRDefault="000B4C78" w:rsidP="000B4C78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6"/>
          <w:szCs w:val="36"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2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–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النظام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الإسلامي والديمقراطية. </w:t>
      </w:r>
      <w:r w:rsidRPr="000B4C7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(</w:t>
      </w:r>
      <w:proofErr w:type="gramStart"/>
      <w:r w:rsidRPr="000B4C7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من</w:t>
      </w:r>
      <w:proofErr w:type="gramEnd"/>
      <w:r w:rsidRPr="000B4C7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الصفحة</w:t>
      </w:r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131</w:t>
      </w:r>
      <w:r w:rsidRPr="000B4C7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إلى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0B4C78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>143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)</w:t>
      </w:r>
    </w:p>
    <w:p w:rsidR="000B4C78" w:rsidRPr="000B4C78" w:rsidRDefault="000B4C78" w:rsidP="000B4C78">
      <w:pPr>
        <w:pStyle w:val="Paragraphedeliste"/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D636DF" w:rsidRPr="00D636DF" w:rsidRDefault="00D636DF" w:rsidP="00D636DF">
      <w:pPr>
        <w:pStyle w:val="Paragraphedeliste"/>
        <w:bidi/>
        <w:jc w:val="both"/>
        <w:rPr>
          <w:rFonts w:ascii="Traditional Arabic" w:hAnsi="Traditional Arabic" w:cs="Traditional Arabic"/>
          <w:sz w:val="36"/>
          <w:szCs w:val="36"/>
          <w:lang w:bidi="ar-M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</w:t>
      </w:r>
    </w:p>
    <w:sectPr w:rsidR="00D636DF" w:rsidRPr="00D636DF" w:rsidSect="0094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26A64"/>
    <w:multiLevelType w:val="hybridMultilevel"/>
    <w:tmpl w:val="6BA28330"/>
    <w:lvl w:ilvl="0" w:tplc="36B06412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77AF"/>
    <w:rsid w:val="000B4C78"/>
    <w:rsid w:val="00215073"/>
    <w:rsid w:val="00292C47"/>
    <w:rsid w:val="0073598F"/>
    <w:rsid w:val="007377AF"/>
    <w:rsid w:val="00806353"/>
    <w:rsid w:val="00935F8F"/>
    <w:rsid w:val="00941D47"/>
    <w:rsid w:val="00B1626A"/>
    <w:rsid w:val="00B176B5"/>
    <w:rsid w:val="00C350CD"/>
    <w:rsid w:val="00D636DF"/>
    <w:rsid w:val="00F662C3"/>
    <w:rsid w:val="00FA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0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2</cp:revision>
  <dcterms:created xsi:type="dcterms:W3CDTF">2016-11-28T21:47:00Z</dcterms:created>
  <dcterms:modified xsi:type="dcterms:W3CDTF">2016-11-28T21:47:00Z</dcterms:modified>
</cp:coreProperties>
</file>